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rFonts w:ascii="Arial" w:hAnsi="Arial" w:cs="Arial"/>
        </w:rPr>
      </w:pPr>
      <w:r>
        <w:rPr>
          <w:rFonts w:cs="Arial" w:ascii="Arial" w:hAnsi="Arial"/>
        </w:rPr>
        <w:tab/>
        <w:tab/>
        <w:tab/>
        <w:tab/>
        <w:tab/>
        <w:tab/>
        <w:t>Toulouse le 5 décembre 2024</w:t>
      </w:r>
    </w:p>
    <w:p>
      <w:pPr>
        <w:pStyle w:val="Normal"/>
        <w:ind w:hanging="0"/>
        <w:rPr>
          <w:rFonts w:ascii="Arial" w:hAnsi="Arial" w:cs="Arial"/>
        </w:rPr>
      </w:pPr>
      <w:r>
        <w:rPr>
          <w:rFonts w:cs="Arial" w:ascii="Arial" w:hAnsi="Arial"/>
        </w:rPr>
      </w:r>
    </w:p>
    <w:p>
      <w:pPr>
        <w:pStyle w:val="Normal"/>
        <w:ind w:hanging="0"/>
        <w:rPr>
          <w:rFonts w:ascii="Arial" w:hAnsi="Arial" w:cs="Arial"/>
        </w:rPr>
      </w:pPr>
      <w:r>
        <w:rPr/>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Objet</w:t>
      </w:r>
      <w:r>
        <w:rPr>
          <w:rFonts w:cs="Arial" w:ascii="Arial" w:hAnsi="Arial"/>
        </w:rPr>
        <w:t> : Actualité sociale</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Le Média Social 21  novembre 2024</w:t>
      </w:r>
      <w:r>
        <w:rPr>
          <w:rFonts w:cs="Arial" w:ascii="Arial" w:hAnsi="Arial"/>
        </w:rPr>
        <w:t> : Malgré l’avis défavorable du gouvernement, les sénateurs ont voté en séance publique, le 20novembre, dans le cadre du PLFSS pour 2025, la création d’une « nouvelle contribution de solidarité par le travail » de sept heures</w:t>
      </w:r>
    </w:p>
    <w:p>
      <w:pPr>
        <w:pStyle w:val="Normal"/>
        <w:ind w:hanging="0"/>
        <w:rPr>
          <w:rFonts w:ascii="Arial" w:hAnsi="Arial" w:cs="Arial"/>
        </w:rPr>
      </w:pPr>
      <w:r>
        <w:rPr>
          <w:rFonts w:cs="Arial" w:ascii="Arial" w:hAnsi="Arial"/>
        </w:rPr>
        <w:t>. L’enjeu : faire bénéficier la Branche Autonomie d’une recette pérenne d’environ 2,5 milliards d’euros.</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Les Echos 21 novembre 2024</w:t>
      </w:r>
      <w:r>
        <w:rPr>
          <w:rFonts w:cs="Arial" w:ascii="Arial" w:hAnsi="Arial"/>
        </w:rPr>
        <w:t> : Le Sénat veut notamment lutter contre le diabète et, l’obésité en poussant les fabricants à réduire le sucre contenu dans leur recette.</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rPr>
        <w:t>Confronté à un dérapage sur les médicaments en 2024, l’exécutif s’est engagé à travailler, main dans la main, avec les industriels pour contenir ces dépenses l’an prochain.</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rPr>
        <w:t>Les dépenses liées aux soins et biens médicaux ont « accéléré » pour atteindre 249 milliards d’euros en 2023, soit une hausse de plus de 5%. Cette progression est bien plus dynamique qu’avant la crise du COVID.</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rPr>
        <w:t>D’accord pour raboter, en 2025, les allègements dont bénéficient les entreprises, tout en préservant les emplois les moins qualifiés, les sénateurs ont réduit, de façon plus marquée les exonérations pour 2026.</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Le Média Social 22 novembre 2024</w:t>
      </w:r>
      <w:r>
        <w:rPr>
          <w:rFonts w:cs="Arial" w:ascii="Arial" w:hAnsi="Arial"/>
        </w:rPr>
        <w:t> : A compter du 1</w:t>
      </w:r>
      <w:r>
        <w:rPr>
          <w:rFonts w:cs="Arial" w:ascii="Arial" w:hAnsi="Arial"/>
          <w:vertAlign w:val="superscript"/>
        </w:rPr>
        <w:t>er</w:t>
      </w:r>
      <w:r>
        <w:rPr>
          <w:rFonts w:cs="Arial" w:ascii="Arial" w:hAnsi="Arial"/>
        </w:rPr>
        <w:t xml:space="preserve"> décembre 2024, les bénéficiaires de l’AAH avec un taux d’incapacité au moins égal à 80% pourront poursuivre une activité professionnelle au-delà de 62 ans tout en continuant à percevoir l’allocation. Cette mesure qui découle de l’article 254 de la loi des Finances pour 2024, ôte à ces personnes l’obligation de demander leur retraite tout en continuant à bénéficier de l’allocation.</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Le Point 23 novembre 2024</w:t>
      </w:r>
      <w:r>
        <w:rPr>
          <w:rFonts w:cs="Arial" w:ascii="Arial" w:hAnsi="Arial"/>
        </w:rPr>
        <w:t> : Sexualité des seniors : « A notre âge, le sexe c’st plus une promenade agréable qu’un sprint ». Une étude de l’INSERM documente la sexualité des seniors. Quatre retraités se confient sur des pratiques qui évoluent mais un désir intact.</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6 Médias 24 novembre 2024 </w:t>
      </w:r>
      <w:r>
        <w:rPr>
          <w:rFonts w:cs="Arial" w:ascii="Arial" w:hAnsi="Arial"/>
        </w:rPr>
        <w:t>: Le Senat a approuvé la revalorisation des retraites en deux temps. Cet amendement prévoit que les plus petites pensions seront légèrement augmentées au 1</w:t>
      </w:r>
      <w:r>
        <w:rPr>
          <w:rFonts w:cs="Arial" w:ascii="Arial" w:hAnsi="Arial"/>
          <w:vertAlign w:val="superscript"/>
        </w:rPr>
        <w:t>er</w:t>
      </w:r>
      <w:r>
        <w:rPr>
          <w:rFonts w:cs="Arial" w:ascii="Arial" w:hAnsi="Arial"/>
        </w:rPr>
        <w:t xml:space="preserve"> janvier 2025, au niveau de la moitié de l’inflation. Cela concerne uniquement, les pensions de base. Les retraités percevant une pension totale, soit de base et complémentaire, inférieure au SMIC, verront celle-ci revalorisée « une seconde fois, à hauteur de l’inflation constatée au 1</w:t>
      </w:r>
      <w:r>
        <w:rPr>
          <w:rFonts w:cs="Arial" w:ascii="Arial" w:hAnsi="Arial"/>
          <w:vertAlign w:val="superscript"/>
        </w:rPr>
        <w:t>er</w:t>
      </w:r>
      <w:r>
        <w:rPr>
          <w:rFonts w:cs="Arial" w:ascii="Arial" w:hAnsi="Arial"/>
        </w:rPr>
        <w:t xml:space="preserve"> juillet ».</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6 Médias 26 novembre 2024</w:t>
      </w:r>
      <w:r>
        <w:rPr>
          <w:rFonts w:cs="Arial" w:ascii="Arial" w:hAnsi="Arial"/>
        </w:rPr>
        <w:t> : Selon la nouvelle édition du baromètre « combien ça coûte d’être vieux en France », vieillir à son domicile  coûterait, en moyenne 1260€ par mois, aux personnes âgées de 65 ans et plus. Un budget en hausse de 3,65% par an. Les personnes âgées de 85 ans et plus sont celles qui dépensent le plus : 2165 euros par mois. Sachant que la pension de retraite coûte en moyenne 1565€, elles sont en déficit de 600 euros. Postes qui flambent le plus par mois : aides à domicile, 252 € ; mutuelle, 220€ ; transports et déplacements, 111€ ; garde de nuit, 954€. Selon la CNSA, le coût mensuel d’un EHPAD est de 2310€ en moyenne.</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AFP 26 novembre 2024</w:t>
      </w:r>
      <w:r>
        <w:rPr>
          <w:rFonts w:cs="Arial" w:ascii="Arial" w:hAnsi="Arial"/>
        </w:rPr>
        <w:t> : La ministre de la santé se dit favorable à reprendre le texte déjà élaboré par le gouvernement et la législature précédente, en l’état.</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6 Médias 2 novembre 2024</w:t>
      </w:r>
      <w:r>
        <w:rPr>
          <w:rFonts w:cs="Arial" w:ascii="Arial" w:hAnsi="Arial"/>
        </w:rPr>
        <w:t> : 59% des Françaises aimeraient vivre jusqu’à 100 ans et plus, en particulier les plus jeunes et les plus vieux, selon le baromètre Landoy publié par l’IFOP (parmi eux, 64% d’hommes et 54% de femmes).65% des personnes interrogées pensent que notre société n’est pas bien préparée pour accueillir un grand nombre de centenaires. Les derniers chiffres partagés par le gouvernement donnent une espérance de vie à la naissance, de 85,3 ans pour les femmes et de 79,4 ans pour les hommes.</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La Dépêche 26 novembre 2024</w:t>
      </w:r>
      <w:r>
        <w:rPr>
          <w:rFonts w:cs="Arial" w:ascii="Arial" w:hAnsi="Arial"/>
        </w:rPr>
        <w:t> : Marine Le Pen, reçue par le premier ministre, sur les consultations budgétaires « jugé « inadmissible » les compromis sur les retraites.</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6 Médias 3 décembre 2024</w:t>
      </w:r>
      <w:r>
        <w:rPr>
          <w:rFonts w:cs="Arial" w:ascii="Arial" w:hAnsi="Arial"/>
        </w:rPr>
        <w:t xml:space="preserve"> : Dans plusieurs villes de France, les retraités se retrouvent dans la rue, mardi 3 décembre, pour manifester en faveur d’une revalorisation de leur retraite, rapporte « le Figaro ». Au </w:t>
      </w:r>
      <w:bookmarkStart w:id="0" w:name="_GoBack"/>
      <w:bookmarkEnd w:id="0"/>
      <w:r>
        <w:rPr>
          <w:rFonts w:cs="Arial" w:ascii="Arial" w:hAnsi="Arial"/>
        </w:rPr>
        <w:t>total, plus de 125 rassemblements sont prévus dans 94 départements, selon les neufs organisations de retraités (CGT – FO/UCR – CFE / CGC – Uniretraités – FSU – Solidaires – FGR fonction publique.</w:t>
      </w:r>
    </w:p>
    <w:p>
      <w:pPr>
        <w:pStyle w:val="Normal"/>
        <w:ind w:hanging="0"/>
        <w:rPr>
          <w:rFonts w:ascii="Arial" w:hAnsi="Arial" w:cs="Arial"/>
        </w:rPr>
      </w:pPr>
      <w:r>
        <w:rPr>
          <w:rFonts w:cs="Arial" w:ascii="Arial" w:hAnsi="Arial"/>
        </w:rPr>
      </w:r>
    </w:p>
    <w:p>
      <w:pPr>
        <w:pStyle w:val="Normal"/>
        <w:ind w:hanging="0"/>
        <w:rPr>
          <w:rFonts w:ascii="Arial" w:hAnsi="Arial" w:cs="Arial"/>
        </w:rPr>
      </w:pPr>
      <w:r>
        <w:rPr>
          <w:rFonts w:cs="Arial" w:ascii="Arial" w:hAnsi="Arial"/>
          <w:u w:val="single"/>
        </w:rPr>
        <w:t>Les Echos 4 décembre 2024</w:t>
      </w:r>
      <w:r>
        <w:rPr>
          <w:rFonts w:cs="Arial" w:ascii="Arial" w:hAnsi="Arial"/>
        </w:rPr>
        <w:t> : A l’occasion de la publication de 17 baromètres sur les discriminations dans l’emploi, publié avec l’OIT (Organisation Internationale du Travail), la défenseuse des droits alerte sur la nécessité de s’attaquer aux discriminations que subissent les seniors dans le monde du travail. Alors que le décalage de la retraite va allonger les carrières professionnelles, six actifs seniors sur dix craignent de subir les discriminations en lien avec leur âge.</w:t>
      </w:r>
    </w:p>
    <w:p>
      <w:pPr>
        <w:pStyle w:val="Normal"/>
        <w:ind w:hanging="0"/>
        <w:rPr>
          <w:rFonts w:ascii="Arial" w:hAnsi="Arial" w:cs="Arial"/>
        </w:rPr>
      </w:pPr>
      <w:r>
        <w:rPr>
          <w:rFonts w:cs="Arial" w:ascii="Arial" w:hAnsi="Arial"/>
        </w:rPr>
      </w:r>
    </w:p>
    <w:p>
      <w:pPr>
        <w:pStyle w:val="Normal"/>
        <w:ind w:hanging="0"/>
        <w:rPr/>
      </w:pPr>
      <w:r>
        <w:rPr>
          <w:rFonts w:cs="Arial" w:ascii="Arial" w:hAnsi="Arial"/>
        </w:rPr>
        <w:t>Francis De Block</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6601199"/>
    </w:sdtPr>
    <w:sdtContent>
      <w:p>
        <w:pPr>
          <w:pStyle w:val="Footer"/>
          <w:jc w:val="right"/>
          <w:rPr/>
        </w:pPr>
        <w:r>
          <w:rPr/>
          <w:fldChar w:fldCharType="begin"/>
        </w:r>
        <w:r>
          <w:rPr/>
          <w:instrText> PAGE </w:instrText>
        </w:r>
        <w:r>
          <w:rPr/>
          <w:fldChar w:fldCharType="separate"/>
        </w:r>
        <w:r>
          <w:rPr/>
          <w:t>0</w:t>
        </w:r>
        <w:r>
          <w:rPr/>
          <w:fldChar w:fldCharType="end"/>
        </w:r>
      </w:p>
    </w:sdtContent>
  </w:sdt>
  <w:p>
    <w:pPr>
      <w:pStyle w:val="Footer"/>
      <w:rPr/>
    </w:pPr>
    <w:r>
      <w:rPr/>
    </w:r>
  </w:p>
</w:ftr>
</file>

<file path=word/settings.xml><?xml version="1.0" encoding="utf-8"?>
<w:settings xmlns:w="http://schemas.openxmlformats.org/wordprocessingml/2006/main">
  <w:zoom w:percent="9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tLeast" w:line="22"/>
      <w:ind w:firstLine="709"/>
      <w:jc w:val="both"/>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e80e6f"/>
    <w:rPr>
      <w:rFonts w:ascii="Segoe UI" w:hAnsi="Segoe UI" w:cs="Segoe UI"/>
      <w:sz w:val="18"/>
      <w:szCs w:val="18"/>
    </w:rPr>
  </w:style>
  <w:style w:type="character" w:styleId="EntteCar" w:customStyle="1">
    <w:name w:val="En-tête Car"/>
    <w:basedOn w:val="DefaultParagraphFont"/>
    <w:link w:val="En-tte"/>
    <w:uiPriority w:val="99"/>
    <w:qFormat/>
    <w:rsid w:val="007b61c9"/>
    <w:rPr/>
  </w:style>
  <w:style w:type="character" w:styleId="PieddepageCar" w:customStyle="1">
    <w:name w:val="Pied de page Car"/>
    <w:basedOn w:val="DefaultParagraphFont"/>
    <w:link w:val="Pieddepage"/>
    <w:uiPriority w:val="99"/>
    <w:qFormat/>
    <w:rsid w:val="007b61c9"/>
    <w:rPr/>
  </w:style>
  <w:style w:type="character" w:styleId="Annotationreference">
    <w:name w:val="annotation reference"/>
    <w:basedOn w:val="DefaultParagraphFont"/>
    <w:uiPriority w:val="99"/>
    <w:semiHidden/>
    <w:unhideWhenUsed/>
    <w:qFormat/>
    <w:rsid w:val="0023178b"/>
    <w:rPr>
      <w:sz w:val="16"/>
      <w:szCs w:val="16"/>
    </w:rPr>
  </w:style>
  <w:style w:type="character" w:styleId="CommentaireCar" w:customStyle="1">
    <w:name w:val="Commentaire Car"/>
    <w:basedOn w:val="DefaultParagraphFont"/>
    <w:link w:val="Commentaire"/>
    <w:uiPriority w:val="99"/>
    <w:semiHidden/>
    <w:qFormat/>
    <w:rsid w:val="0023178b"/>
    <w:rPr>
      <w:sz w:val="20"/>
      <w:szCs w:val="20"/>
    </w:rPr>
  </w:style>
  <w:style w:type="character" w:styleId="ObjetducommentaireCar" w:customStyle="1">
    <w:name w:val="Objet du commentaire Car"/>
    <w:basedOn w:val="CommentaireCar"/>
    <w:link w:val="Objetducommentaire"/>
    <w:uiPriority w:val="99"/>
    <w:semiHidden/>
    <w:qFormat/>
    <w:rsid w:val="0023178b"/>
    <w:rPr>
      <w:b/>
      <w:bCs/>
      <w:sz w:val="20"/>
      <w:szCs w:val="20"/>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e80e6f"/>
    <w:pPr>
      <w:spacing w:lineRule="auto" w:line="240"/>
    </w:pPr>
    <w:rPr>
      <w:rFonts w:ascii="Segoe UI" w:hAnsi="Segoe UI" w:cs="Segoe UI"/>
      <w:sz w:val="18"/>
      <w:szCs w:val="18"/>
    </w:rPr>
  </w:style>
  <w:style w:type="paragraph" w:styleId="Header">
    <w:name w:val="Header"/>
    <w:basedOn w:val="Normal"/>
    <w:link w:val="En-tteCar"/>
    <w:uiPriority w:val="99"/>
    <w:unhideWhenUsed/>
    <w:rsid w:val="007b61c9"/>
    <w:pPr>
      <w:tabs>
        <w:tab w:val="clear" w:pos="708"/>
        <w:tab w:val="center" w:pos="4536" w:leader="none"/>
        <w:tab w:val="right" w:pos="9072" w:leader="none"/>
      </w:tabs>
      <w:spacing w:lineRule="auto" w:line="240"/>
    </w:pPr>
    <w:rPr/>
  </w:style>
  <w:style w:type="paragraph" w:styleId="Footer">
    <w:name w:val="Footer"/>
    <w:basedOn w:val="Normal"/>
    <w:link w:val="PieddepageCar"/>
    <w:uiPriority w:val="99"/>
    <w:unhideWhenUsed/>
    <w:rsid w:val="007b61c9"/>
    <w:pPr>
      <w:tabs>
        <w:tab w:val="clear" w:pos="708"/>
        <w:tab w:val="center" w:pos="4536" w:leader="none"/>
        <w:tab w:val="right" w:pos="9072" w:leader="none"/>
      </w:tabs>
      <w:spacing w:lineRule="auto" w:line="240"/>
    </w:pPr>
    <w:rPr/>
  </w:style>
  <w:style w:type="paragraph" w:styleId="Annotationtext">
    <w:name w:val="annotation text"/>
    <w:basedOn w:val="Normal"/>
    <w:link w:val="CommentaireCar"/>
    <w:uiPriority w:val="99"/>
    <w:semiHidden/>
    <w:unhideWhenUsed/>
    <w:qFormat/>
    <w:rsid w:val="0023178b"/>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23178b"/>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489F-3DF3-49E7-924D-22EAEE17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Application>Trio_Office/6.2.8.2$Windows_x86 LibreOffice_project/</Application>
  <Pages>2</Pages>
  <Words>742</Words>
  <Characters>4087</Characters>
  <CharactersWithSpaces>4820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2023-01-08T14:47:00Z</dcterms:created>
  <dc:creator>Compte Microsoft</dc:creator>
  <dc:description/>
  <dc:language>fr-FR</dc:language>
  <cp:lastModifiedBy/>
  <cp:lastPrinted>2024-10-30T11:29:00Z</cp:lastPrinted>
  <dcterms:modified xsi:type="dcterms:W3CDTF">2024-12-09T18:05:40Z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